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C2" w:rsidRPr="00BC33C2" w:rsidRDefault="00BC33C2" w:rsidP="00BC33C2">
      <w:pPr>
        <w:pStyle w:val="Heading1"/>
        <w:numPr>
          <w:ilvl w:val="0"/>
          <w:numId w:val="0"/>
        </w:numPr>
        <w:ind w:left="-993" w:right="3118"/>
        <w:jc w:val="right"/>
        <w:rPr>
          <w:sz w:val="40"/>
        </w:rPr>
      </w:pPr>
      <w:bookmarkStart w:id="0" w:name="_Toc99568759"/>
      <w:r w:rsidRPr="00BC33C2">
        <w:rPr>
          <w:noProof/>
          <w:sz w:val="40"/>
          <w:lang w:eastAsia="hr-HR"/>
        </w:rPr>
        <w:drawing>
          <wp:anchor distT="0" distB="0" distL="114300" distR="114300" simplePos="0" relativeHeight="251659264" behindDoc="0" locked="0" layoutInCell="1" allowOverlap="1" wp14:anchorId="483867DD" wp14:editId="36F56C7E">
            <wp:simplePos x="0" y="0"/>
            <wp:positionH relativeFrom="margin">
              <wp:posOffset>4243705</wp:posOffset>
            </wp:positionH>
            <wp:positionV relativeFrom="margin">
              <wp:posOffset>-10795</wp:posOffset>
            </wp:positionV>
            <wp:extent cx="1055370" cy="1529715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ona - naslovnica izzvješće za 2021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C2">
        <w:rPr>
          <w:noProof/>
          <w:sz w:val="40"/>
          <w:lang w:eastAsia="hr-HR"/>
        </w:rPr>
        <w:drawing>
          <wp:anchor distT="0" distB="0" distL="114300" distR="114300" simplePos="0" relativeHeight="251661312" behindDoc="0" locked="0" layoutInCell="1" allowOverlap="1" wp14:anchorId="6E0C5492" wp14:editId="6A155350">
            <wp:simplePos x="0" y="0"/>
            <wp:positionH relativeFrom="margin">
              <wp:posOffset>-372110</wp:posOffset>
            </wp:positionH>
            <wp:positionV relativeFrom="margin">
              <wp:posOffset>-607695</wp:posOffset>
            </wp:positionV>
            <wp:extent cx="1279525" cy="444500"/>
            <wp:effectExtent l="0" t="0" r="0" b="0"/>
            <wp:wrapSquare wrapText="bothSides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kaPravobraniteljica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C2">
        <w:rPr>
          <w:sz w:val="40"/>
        </w:rPr>
        <w:t>PREPORUKE</w:t>
      </w:r>
      <w:bookmarkEnd w:id="0"/>
      <w:r w:rsidRPr="00BC33C2">
        <w:rPr>
          <w:sz w:val="40"/>
        </w:rPr>
        <w:t xml:space="preserve"> IZ</w:t>
      </w:r>
    </w:p>
    <w:p w:rsidR="00BC33C2" w:rsidRPr="00BC33C2" w:rsidRDefault="00BC33C2" w:rsidP="00BC33C2">
      <w:pPr>
        <w:pStyle w:val="Heading1"/>
        <w:numPr>
          <w:ilvl w:val="0"/>
          <w:numId w:val="0"/>
        </w:numPr>
        <w:ind w:left="-993" w:right="3118"/>
        <w:jc w:val="right"/>
        <w:rPr>
          <w:sz w:val="40"/>
        </w:rPr>
      </w:pPr>
      <w:r w:rsidRPr="00BC33C2">
        <w:rPr>
          <w:sz w:val="40"/>
        </w:rPr>
        <w:t>IZVJEŠĆA PUČKE PRAVOBRANITELJICE</w:t>
      </w:r>
    </w:p>
    <w:p w:rsidR="001A6D9A" w:rsidRPr="00BC33C2" w:rsidRDefault="00BC33C2" w:rsidP="00BC33C2">
      <w:pPr>
        <w:pStyle w:val="Heading1"/>
        <w:numPr>
          <w:ilvl w:val="0"/>
          <w:numId w:val="0"/>
        </w:numPr>
        <w:ind w:left="-993" w:right="3118"/>
        <w:jc w:val="right"/>
        <w:rPr>
          <w:sz w:val="40"/>
        </w:rPr>
      </w:pPr>
      <w:r w:rsidRPr="00BC33C2">
        <w:rPr>
          <w:sz w:val="40"/>
        </w:rPr>
        <w:t>ZA 2021. GODINU</w:t>
      </w:r>
    </w:p>
    <w:p w:rsidR="001A6D9A" w:rsidRPr="00C105A8" w:rsidRDefault="001A6D9A" w:rsidP="001A6D9A">
      <w:pPr>
        <w:spacing w:after="0" w:line="276" w:lineRule="auto"/>
        <w:jc w:val="both"/>
        <w:rPr>
          <w:rFonts w:ascii="Calibri" w:eastAsia="Calibri" w:hAnsi="Calibri" w:cs="Calibri"/>
          <w:sz w:val="12"/>
        </w:rPr>
      </w:pPr>
    </w:p>
    <w:p w:rsidR="001A6D9A" w:rsidRDefault="001A6D9A" w:rsidP="001A6D9A">
      <w:pPr>
        <w:spacing w:after="0" w:line="276" w:lineRule="auto"/>
        <w:ind w:left="426"/>
        <w:jc w:val="both"/>
        <w:rPr>
          <w:rFonts w:ascii="Bahnschrift Light SemiCondensed" w:eastAsia="Calibri" w:hAnsi="Bahnschrift Light SemiCondensed" w:cs="Calibri"/>
          <w:color w:val="0070C0"/>
          <w:sz w:val="28"/>
        </w:rPr>
      </w:pPr>
    </w:p>
    <w:p w:rsidR="00BC33C2" w:rsidRDefault="00BC33C2" w:rsidP="001A6D9A">
      <w:pPr>
        <w:spacing w:after="0" w:line="276" w:lineRule="auto"/>
        <w:ind w:left="426"/>
        <w:jc w:val="both"/>
        <w:rPr>
          <w:rFonts w:ascii="Bahnschrift Light SemiCondensed" w:eastAsia="Calibri" w:hAnsi="Bahnschrift Light SemiCondensed" w:cs="Calibri"/>
          <w:color w:val="0070C0"/>
          <w:sz w:val="28"/>
        </w:rPr>
      </w:pPr>
    </w:p>
    <w:p w:rsidR="001A6D9A" w:rsidRDefault="001A6D9A" w:rsidP="001A6D9A">
      <w:pPr>
        <w:spacing w:after="0" w:line="276" w:lineRule="auto"/>
        <w:ind w:left="426"/>
        <w:jc w:val="both"/>
        <w:rPr>
          <w:rFonts w:ascii="Bahnschrift Light SemiCondensed" w:eastAsia="Calibri" w:hAnsi="Bahnschrift Light SemiCondensed" w:cs="Calibri"/>
          <w:color w:val="0070C0"/>
          <w:sz w:val="28"/>
        </w:rPr>
      </w:pPr>
      <w:r>
        <w:rPr>
          <w:rFonts w:ascii="Bahnschrift Light SemiCondensed" w:eastAsia="Calibri" w:hAnsi="Bahnschrift Light SemiCondensed" w:cs="Calibri"/>
          <w:color w:val="0070C0"/>
          <w:sz w:val="28"/>
        </w:rPr>
        <w:t>Utjecaj potresa na ostvarivanje ljudskih prava</w:t>
      </w:r>
      <w:r w:rsidRPr="004B26AE">
        <w:rPr>
          <w:rFonts w:ascii="Bahnschrift Light SemiCondensed" w:eastAsia="Calibri" w:hAnsi="Bahnschrift Light SemiCondensed" w:cs="Calibri"/>
          <w:color w:val="0070C0"/>
          <w:sz w:val="28"/>
        </w:rPr>
        <w:t xml:space="preserve"> </w:t>
      </w:r>
    </w:p>
    <w:p w:rsidR="001A6D9A" w:rsidRPr="003E2D54" w:rsidRDefault="001A6D9A" w:rsidP="001A6D9A">
      <w:pPr>
        <w:spacing w:after="0" w:line="276" w:lineRule="auto"/>
        <w:jc w:val="both"/>
        <w:rPr>
          <w:rFonts w:ascii="Bahnschrift Light SemiCondensed" w:eastAsia="Calibri" w:hAnsi="Bahnschrift Light SemiCondensed" w:cs="Calibri"/>
          <w:color w:val="0070C0"/>
          <w:sz w:val="12"/>
        </w:rPr>
      </w:pPr>
    </w:p>
    <w:p w:rsidR="001A6D9A" w:rsidRPr="001A6D9A" w:rsidRDefault="001A6D9A" w:rsidP="001A6D9A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prostornog uređenja, graditeljstva i državne imovine, da jasno postave i komuniciraju rokove i obuhvate obnove obiteljskih kuća i </w:t>
      </w:r>
      <w:proofErr w:type="spellStart"/>
      <w:r w:rsidRPr="001A6D9A">
        <w:rPr>
          <w:rFonts w:ascii="Calibri" w:eastAsia="Calibri" w:hAnsi="Calibri" w:cs="Times New Roman"/>
          <w:sz w:val="24"/>
        </w:rPr>
        <w:t>višestambenih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zgrada na potresima pogođe</w:t>
      </w:r>
      <w:bookmarkStart w:id="1" w:name="_GoBack"/>
      <w:bookmarkEnd w:id="1"/>
      <w:r w:rsidRPr="001A6D9A">
        <w:rPr>
          <w:rFonts w:ascii="Calibri" w:eastAsia="Calibri" w:hAnsi="Calibri" w:cs="Times New Roman"/>
          <w:sz w:val="24"/>
        </w:rPr>
        <w:t>nim područjima</w:t>
      </w:r>
    </w:p>
    <w:p w:rsidR="001A6D9A" w:rsidRPr="001A6D9A" w:rsidRDefault="001A6D9A" w:rsidP="001A6D9A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Hrvatskom crvenom križu, da uloži dodatne napore kako bi se kontinuirano sanirali bunari na potresom pogođenom području Sisačko-moslavačke županije</w:t>
      </w:r>
    </w:p>
    <w:p w:rsidR="001A6D9A" w:rsidRPr="001A6D9A" w:rsidRDefault="001A6D9A" w:rsidP="001A6D9A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nastavi s mjerama vezanima uz otpis potraživanja za energente na području na kojem je proglašena katastrofa, uz razmatranje proširenja kriterija</w:t>
      </w:r>
    </w:p>
    <w:p w:rsidR="001A6D9A" w:rsidRPr="001A6D9A" w:rsidRDefault="001A6D9A" w:rsidP="001A6D9A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Hrvatskom crvenom križu, da nastavi provoditi programe psihosocijalne podrške u organiziranim smještajima te, po procjeni, u domovima stradalnika</w:t>
      </w:r>
    </w:p>
    <w:p w:rsidR="001A6D9A" w:rsidRDefault="001A6D9A" w:rsidP="001A6D9A">
      <w:pPr>
        <w:numPr>
          <w:ilvl w:val="0"/>
          <w:numId w:val="3"/>
        </w:numPr>
        <w:ind w:left="425" w:hanging="357"/>
        <w:jc w:val="both"/>
        <w:rPr>
          <w:rFonts w:ascii="Calibri" w:eastAsia="Calibri" w:hAnsi="Calibri" w:cs="Times New Roman"/>
        </w:rPr>
      </w:pPr>
      <w:r w:rsidRPr="001A6D9A">
        <w:rPr>
          <w:rFonts w:ascii="Calibri" w:eastAsia="Calibri" w:hAnsi="Calibri" w:cs="Times New Roman"/>
          <w:sz w:val="24"/>
        </w:rPr>
        <w:t xml:space="preserve">Jedinicama lokalne i područne samouprave, Središnjem državnom uredu za obnovu i stambeno zbrinjavanje i Ministarstvu prostornog uređenja, graditeljstva i državne imovine, da žurno zbrinu građane koji žive u kontejnerima u primjerenije objekte </w:t>
      </w:r>
    </w:p>
    <w:p w:rsidR="001A6D9A" w:rsidRPr="0089644C" w:rsidRDefault="001A6D9A" w:rsidP="001A6D9A">
      <w:pPr>
        <w:ind w:left="426"/>
        <w:contextualSpacing/>
        <w:jc w:val="both"/>
        <w:rPr>
          <w:rFonts w:ascii="Calibri" w:eastAsia="Calibri" w:hAnsi="Calibri" w:cs="Times New Roman"/>
          <w:sz w:val="12"/>
        </w:rPr>
      </w:pPr>
    </w:p>
    <w:p w:rsidR="001A6D9A" w:rsidRDefault="001A6D9A" w:rsidP="001A6D9A">
      <w:pPr>
        <w:ind w:left="426"/>
        <w:contextualSpacing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Pravo na dobro upravljanje</w:t>
      </w:r>
    </w:p>
    <w:p w:rsidR="001A6D9A" w:rsidRPr="000229AB" w:rsidRDefault="001A6D9A" w:rsidP="001A6D9A">
      <w:pPr>
        <w:contextualSpacing/>
        <w:jc w:val="both"/>
        <w:rPr>
          <w:rFonts w:ascii="Bahnschrift Light SemiCondensed" w:eastAsia="Calibri" w:hAnsi="Bahnschrift Light SemiCondensed" w:cs="Times New Roman"/>
          <w:color w:val="0070C0"/>
          <w:sz w:val="12"/>
          <w:szCs w:val="28"/>
        </w:rPr>
      </w:pPr>
    </w:p>
    <w:p w:rsidR="001A6D9A" w:rsidRPr="001A6D9A" w:rsidRDefault="001A6D9A" w:rsidP="001A6D9A">
      <w:pPr>
        <w:numPr>
          <w:ilvl w:val="0"/>
          <w:numId w:val="3"/>
        </w:numPr>
        <w:ind w:left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Državnoj školi za javnu upravu, da uvede osnovni i napredni modul kod radionica o primjeni ZUP-a, s obzirom na njegovu sveobuhvatnost i složenost</w:t>
      </w:r>
    </w:p>
    <w:p w:rsidR="001A6D9A" w:rsidRPr="001A6D9A" w:rsidRDefault="001A6D9A" w:rsidP="001A6D9A">
      <w:pPr>
        <w:numPr>
          <w:ilvl w:val="0"/>
          <w:numId w:val="3"/>
        </w:numPr>
        <w:ind w:left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izradi brošuru o ZUP-u namijenjenu građanima te ju učini dostupnom u elektroničkom obliku i u tiskanom obliku u svim tijelima državne uprave i JLP(R)S</w:t>
      </w:r>
    </w:p>
    <w:p w:rsidR="001A6D9A" w:rsidRPr="001A6D9A" w:rsidRDefault="001A6D9A" w:rsidP="001A6D9A">
      <w:pPr>
        <w:numPr>
          <w:ilvl w:val="0"/>
          <w:numId w:val="3"/>
        </w:numPr>
        <w:ind w:left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Svim javnopravnim tijelima, da na web stranicama i u prostorijama u kojima primaju građane jasno navedu popis usluga koje pružaju i daju kratak opis procedura, a za ključne postupke koje vode da izrade letke s detaljnim uputama o koracima, rokovima, potrebnoj dokumentaciji i načinima korištenja pravnih lijekova</w:t>
      </w:r>
    </w:p>
    <w:p w:rsidR="001A6D9A" w:rsidRPr="001A6D9A" w:rsidRDefault="001A6D9A" w:rsidP="001A6D9A">
      <w:pPr>
        <w:numPr>
          <w:ilvl w:val="0"/>
          <w:numId w:val="3"/>
        </w:numPr>
        <w:ind w:left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u suradnji sa Središnjim državnim uredom za razvoj digitalnog društva, radi na unaprjeđenju pružanja usluga građanima kroz intenzivniju digitalizaciju i elektroničku komunikaciju, kao i unaprjeđenju „tradicionalnog“ pružanja usluga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6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Tijelima državne uprave kao nositeljima izrade zakona, da redovito ažuriraju informacije o planiranim izmjenama zakona na svojim web stranicama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6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Tijelima državne uprave kao nositeljima izrade zakona, da izrađuju i objavljuju (neslužbene) pročišćene verzije zakona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6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i Saboru, da sukladno preporukama GRECO-a donesu etičke kodekse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6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Jedinicama lokalne i područne (regionalne) samouprave, koje nemaju etičke kodekse, da ih donesu</w:t>
      </w:r>
    </w:p>
    <w:p w:rsidR="001A6D9A" w:rsidRPr="0089644C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Pravo na zdravlje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uspostavi neovisni Centar za istraživanje ishoda u zdravstvu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prijedlogom izmjena i dopuna Zakona o zdravstvenoj zaštiti propiše obvezu zdravstvenih ustanova da o smrti u određenom roku obavijeste članove obitelji umrloga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smanje liste čekanja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prijedlogom izmjena i dopuna propisa o obveznom zdravstvenom osiguranju i zdravstvenoj zaštiti propiše pravo beskućnika na besplatnu zdravstvenu zaštitu, neovisno o reguliranom prebivalištu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prijedlogom izmjena i dopuna propisa o zdravstvenoj zaštiti i obveznom zdravstvenom osiguranju unaprijedi funkcioniranje sustava na svim razinama zdravstvene skrbi, od prevencije, primarne, sekundarne do tercijarne razine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stručnu psihološku pomoć učini dostupnom u svim oblicima, a ne samo putem interneta, kao i da osigura široku dostupnost informacija o njoj</w:t>
      </w:r>
    </w:p>
    <w:p w:rsidR="001A6D9A" w:rsidRPr="00E878FF" w:rsidRDefault="001A6D9A" w:rsidP="001A6D9A">
      <w:pPr>
        <w:ind w:left="426"/>
        <w:contextualSpacing/>
        <w:jc w:val="both"/>
        <w:rPr>
          <w:rFonts w:ascii="Calibri" w:eastAsia="Calibri" w:hAnsi="Calibri" w:cs="Times New Roman"/>
          <w:sz w:val="8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Pravo na rad</w:t>
      </w:r>
    </w:p>
    <w:p w:rsidR="001A6D9A" w:rsidRPr="001A6D9A" w:rsidRDefault="001A6D9A" w:rsidP="001A6D9A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Ministarstvima, da javne ustanove unutar svoga resora upoznaju sa sadržajem Odluke Ustavnog suda U-III-4016/2015 iz 2019. te im daju naputak o obvezi postupanja po čl. 156. Zakona o općem upravnom postupku u natječajnim postupcima za zapošljavanje</w:t>
      </w:r>
    </w:p>
    <w:p w:rsidR="001A6D9A" w:rsidRPr="001A6D9A" w:rsidRDefault="001A6D9A" w:rsidP="001A6D9A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Prosvjetnoj inspekciji, da provodi ciljane periodičke nadzore nad zakonitošću ugovora o radu na određeno vrijeme u obrazovnim ustanovama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contextualSpacing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Hrvatskom zavodu za zapošljavanje, da nastavi informirati poslodavce o: </w:t>
      </w:r>
    </w:p>
    <w:p w:rsidR="001A6D9A" w:rsidRPr="001A6D9A" w:rsidRDefault="001A6D9A" w:rsidP="003820ED">
      <w:pPr>
        <w:numPr>
          <w:ilvl w:val="0"/>
          <w:numId w:val="4"/>
        </w:numPr>
        <w:ind w:left="993" w:hanging="425"/>
        <w:contextualSpacing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obvezi osiguravanja sredstava za rad </w:t>
      </w:r>
    </w:p>
    <w:p w:rsidR="001A6D9A" w:rsidRPr="001A6D9A" w:rsidRDefault="001A6D9A" w:rsidP="001A6D9A">
      <w:pPr>
        <w:numPr>
          <w:ilvl w:val="0"/>
          <w:numId w:val="4"/>
        </w:numPr>
        <w:ind w:left="993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zabrani diskriminatornih uvjeta u oglasima za zapošljavanje </w:t>
      </w:r>
    </w:p>
    <w:p w:rsidR="001A6D9A" w:rsidRPr="001A6D9A" w:rsidRDefault="001A6D9A" w:rsidP="001A6D9A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prije predlaganja novih zakonskih rješenja provede istraživanje o broju i strukturi radnika zaposlenih preko digitalnih platformi</w:t>
      </w:r>
    </w:p>
    <w:p w:rsidR="001A6D9A" w:rsidRPr="001A6D9A" w:rsidRDefault="001A6D9A" w:rsidP="001A6D9A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rada, mirovinskog sustava, obitelji i socijalne politike, da prijedlogom izmjena i dopuna Zakona o radu regulira status radnika </w:t>
      </w:r>
      <w:proofErr w:type="spellStart"/>
      <w:r w:rsidRPr="001A6D9A">
        <w:rPr>
          <w:rFonts w:ascii="Calibri" w:eastAsia="Calibri" w:hAnsi="Calibri" w:cs="Times New Roman"/>
          <w:sz w:val="24"/>
        </w:rPr>
        <w:t>platformskim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radnicima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2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Prava starijih osoba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rada, mirovinskog sustava, obitelji i socijalne politike, da sukladno Zakonu o socijalnoj skrbi donese </w:t>
      </w:r>
      <w:proofErr w:type="spellStart"/>
      <w:r w:rsidRPr="001A6D9A">
        <w:rPr>
          <w:rFonts w:ascii="Calibri" w:eastAsia="Calibri" w:hAnsi="Calibri" w:cs="Times New Roman"/>
          <w:sz w:val="24"/>
        </w:rPr>
        <w:t>podzakonske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akte radi kvalitetne transformacije obiteljskih domova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prati i žurno reagira kod samoinicijativnog ograničavanja izlazaka i posjeta u domovima za starije i nemoćne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Pružateljima usluga smještaja za starije osobe, da korisnicima usluga smještaja omoguće kontakte </w:t>
      </w:r>
      <w:proofErr w:type="spellStart"/>
      <w:r w:rsidRPr="001A6D9A">
        <w:rPr>
          <w:rFonts w:ascii="Calibri" w:eastAsia="Calibri" w:hAnsi="Calibri" w:cs="Times New Roman"/>
          <w:sz w:val="24"/>
        </w:rPr>
        <w:t>videopozivom</w:t>
      </w:r>
      <w:proofErr w:type="spellEnd"/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rada, mirovinskog sustava, obitelji i socijalne politike, da regulira primjenu mjera ograničavanja kretanja kod pružatelja usluge smještaja koji nisu ustanove socijalne skrbi 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osigura sredstva za OCD-e i JLP(R)S za aktivnosti usmjerene na osnaživanje starijih i podršku u slučajevima obiteljskog nasilja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osnuje Radnu skupinu za praćenje pojavnosti nasilja nad starijima, uključujući i u domovima za starije i nemoćne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pravosuđa i uprave, da sudovima pred kojima se sklapaju ugovori o doživotnom i </w:t>
      </w:r>
      <w:proofErr w:type="spellStart"/>
      <w:r w:rsidRPr="001A6D9A">
        <w:rPr>
          <w:rFonts w:ascii="Calibri" w:eastAsia="Calibri" w:hAnsi="Calibri" w:cs="Times New Roman"/>
          <w:sz w:val="24"/>
        </w:rPr>
        <w:t>dosmrtnom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uzdržavanju te javnim bilježnicima omogući pristup postojećim elektroničkim evidencijama, radi provjere poslovne sposobnosti stranaka te postojanja prepreka za sklapanje ovih ugovora iz čl. 170. ZSS-a 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pravosuđa i uprave, da uspostavi normativni okvir za bolju regulaciju ugovora o doživotnom i </w:t>
      </w:r>
      <w:proofErr w:type="spellStart"/>
      <w:r w:rsidRPr="001A6D9A">
        <w:rPr>
          <w:rFonts w:ascii="Calibri" w:eastAsia="Calibri" w:hAnsi="Calibri" w:cs="Times New Roman"/>
          <w:sz w:val="24"/>
        </w:rPr>
        <w:t>dosmrtnom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uzdržavanju, uključujući i za uspostavu registra ugovora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prijedlogom izmjena i dopuna Zakona o nacionalnoj naknadi za starije osobe poveća iznos te omogući isplatu putem pošte</w:t>
      </w:r>
    </w:p>
    <w:p w:rsidR="001A6D9A" w:rsidRPr="001A6D9A" w:rsidRDefault="001A6D9A" w:rsidP="001A6D9A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Hrvatskom zavodu za mirovinsko osiguranje, da intenzivnijom komunikacijom sa strankama dodatno skrati vrijeme postupanja, posebice u odnosu na predmete s inozemnim elementom</w:t>
      </w:r>
    </w:p>
    <w:p w:rsidR="001A6D9A" w:rsidRPr="001A6D9A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4"/>
        </w:rPr>
      </w:pPr>
    </w:p>
    <w:p w:rsidR="001A6D9A" w:rsidRPr="005073D5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5073D5">
        <w:rPr>
          <w:rFonts w:ascii="Bahnschrift Light SemiCondensed" w:eastAsia="Calibri" w:hAnsi="Bahnschrift Light SemiCondensed" w:cs="Times New Roman"/>
          <w:color w:val="0070C0"/>
          <w:sz w:val="28"/>
        </w:rPr>
        <w:t>Diskriminacija temeljem dobi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zdravlja, da izmjeni diskriminatornu odredbu članka 50. Zakona o obveznom zdravstvenom osiguranju</w:t>
      </w:r>
    </w:p>
    <w:p w:rsid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u Zakonu o socijalnoj skrbi predvidi institut njegovatelja za članove obitelji koji brinu o starim, nemoćnim i oboljelim članovima</w:t>
      </w:r>
    </w:p>
    <w:p w:rsidR="003820ED" w:rsidRPr="003820ED" w:rsidRDefault="003820ED" w:rsidP="003820ED">
      <w:pPr>
        <w:jc w:val="both"/>
        <w:rPr>
          <w:rFonts w:ascii="Calibri" w:eastAsia="Calibri" w:hAnsi="Calibri" w:cs="Times New Roman"/>
          <w:sz w:val="4"/>
          <w:szCs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lastRenderedPageBreak/>
        <w:t>Pravo na obrazovanje i diskriminacija temeljem obrazovanja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Ministarstvu zdravstva, da prijedlogom izmjena i dopuna  Zakona o djelatnostima u zdravstvu prepozna razinu obrazovanja magistar medicinsko-laboratorijske dijagnostike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Ministarstvu znanosti i obrazovanja, da Pravilnik o uvjetima i načinu ostvarivanja prava na pokriće troškova prehrane studenata uskladi sa Zakonom o strancima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 xml:space="preserve">Ministarstvu znanosti i obrazovanja, da u suradnji s visokim učilištima, doradom </w:t>
      </w:r>
      <w:proofErr w:type="spellStart"/>
      <w:r w:rsidRPr="003820ED">
        <w:rPr>
          <w:rFonts w:ascii="Calibri" w:eastAsia="Calibri" w:hAnsi="Calibri" w:cs="Times New Roman"/>
          <w:sz w:val="24"/>
          <w:szCs w:val="24"/>
        </w:rPr>
        <w:t>podzakonskih</w:t>
      </w:r>
      <w:proofErr w:type="spellEnd"/>
      <w:r w:rsidRPr="003820ED">
        <w:rPr>
          <w:rFonts w:ascii="Calibri" w:eastAsia="Calibri" w:hAnsi="Calibri" w:cs="Times New Roman"/>
          <w:sz w:val="24"/>
          <w:szCs w:val="24"/>
        </w:rPr>
        <w:t xml:space="preserve"> akata uredi mogućnost nastavka prekinutog studija te promjena studijskog programa u cilju poticanja završavanja visokog obrazovanja ranjivih i podzastupljenih skupina studenata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Socijalna skrb: Siromaštvo i ljudska prava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napravi analizu pada broja korisnika zajamčene minimalne naknade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Centrima za socijalnu skrb, da jednokratnim naknadama obuhvate veći broj korisnika, posebice kojima su zbog epidemiološke situacije, primjerice bolesti, povećane potrebe, kao i da se ubrzaju postupci odobravanja i isplate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rješava drugostupanjske predmete u zakonskim rokovima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Jedinicama lokalne i područne samouprave i Ministarstvu rada, mirovinskog sustava, obitelji i socijalne politike, da socijalnim samoposlugama osiguraju održivo financiranje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Županijama, da u skladu sa zakonskom obvezom i svojim financijskim mogućnostima pomognu velikim gradovima i gradovima u sjedištu županije koji nemaju financijska sredstva da otvore pučke kuhinje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rada, mirovinskog sustava, obitelji i socijalne politike, da </w:t>
      </w:r>
      <w:proofErr w:type="spellStart"/>
      <w:r w:rsidRPr="001A6D9A">
        <w:rPr>
          <w:rFonts w:ascii="Calibri" w:eastAsia="Calibri" w:hAnsi="Calibri" w:cs="Times New Roman"/>
          <w:sz w:val="24"/>
        </w:rPr>
        <w:t>mapira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razloge koji su doveli do beskućništva, utvrdi stvaran broj beskućnika i izazove s kojima se susreću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contextualSpacing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Pružateljima usluga za beskućnike, JLS-ima i CZSS-ima, da beskućnike: </w:t>
      </w:r>
    </w:p>
    <w:p w:rsidR="001A6D9A" w:rsidRPr="001A6D9A" w:rsidRDefault="001A6D9A" w:rsidP="003820ED">
      <w:pPr>
        <w:numPr>
          <w:ilvl w:val="0"/>
          <w:numId w:val="4"/>
        </w:numPr>
        <w:ind w:left="993" w:hanging="425"/>
        <w:contextualSpacing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na privremenom smještaju preko godinu dana socijalno uključe u lokalnu zajednicu</w:t>
      </w:r>
    </w:p>
    <w:p w:rsidR="001A6D9A" w:rsidRPr="001A6D9A" w:rsidRDefault="001A6D9A" w:rsidP="003820ED">
      <w:pPr>
        <w:numPr>
          <w:ilvl w:val="0"/>
          <w:numId w:val="4"/>
        </w:numPr>
        <w:ind w:left="993" w:hanging="425"/>
        <w:contextualSpacing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kronično bolesne i nemoćne adekvatno smjeste kod odgovarajućeg pružatelja socijalnih usluga</w:t>
      </w:r>
    </w:p>
    <w:p w:rsidR="001A6D9A" w:rsidRPr="001A6D9A" w:rsidRDefault="001A6D9A" w:rsidP="003820ED">
      <w:pPr>
        <w:numPr>
          <w:ilvl w:val="0"/>
          <w:numId w:val="4"/>
        </w:numPr>
        <w:ind w:left="993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mladima osiguraju organizirano stanovanje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Županijama, da velikim gradovima i gradovima sjedištima županije koji nisu u mogućnosti financirati prihvatilišta/prenoćišta, sukladno zakonskim obvezama i financijskim mogućnostima pomognu u tome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rada, mirovinskog sustava, obitelji i socijalne politike, da osigura dugoročnije financiranje projekata i aktivnosti za beskućnike, poput dnevnog boravka   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osiguraju prijavu prebivališta beskućnika na adrese centara za socijalnu skrb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rada, mirovinskog sustava, obitelji i socijalne politike, da od JLP(R)S prikupi dostupne podatke o prosječnoj mjesečnoj cijeni najma na njihovom području te ovisno o njima odobrava naknadu za troškove stanovanja u maksimalnom iznosu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 sustava, obitelji i socijalne politike, da pri budućim izmjenama i dopunama Zakona o socijalnoj skrbi propiše veći iznos naknade za troškove stanovanja i proširi obuhvat korisnika</w:t>
      </w:r>
    </w:p>
    <w:p w:rsidR="001A6D9A" w:rsidRPr="001A6D9A" w:rsidRDefault="001A6D9A" w:rsidP="003820ED">
      <w:pPr>
        <w:numPr>
          <w:ilvl w:val="0"/>
          <w:numId w:val="3"/>
        </w:numPr>
        <w:ind w:left="426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Nadzornom odboru HRT-a, da u idućoj Odluci o utvrđivanju visine mjesečne pristojbe predvidi oslobođenje od pola iznosa za umirovljenike ispod prihodovnog cenzusa, neovisno o izvoru iz kojeg im se mirovina isplaćuje i datumu prijave u evidenciju obveznika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Pravo na adekvatno stanovanje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prostornog uređenja, graditeljstva i državne imovine, da pripremi Stambenu strategiju i u njenu izradu uključi širok krug tijela koja se bave pitanjem stanovanja i prava pojedinih skupina, kao i drugih dionika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prostornog uređenja, graditeljstva i državne imovine, da u zakonodavnu proceduru žurno uputi novelu Zakona o najmu, vodeći se praksom Europskog suda za ljudska prava te Ustavnog suda Republike Hrvatske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prostornog uređenja, graditeljstva i državne imovine, da žurno izradi Program zbrinjavanja stanovnika zgrada i uklanjanja ostataka porušenih obiteljskih kuća i drugih stambenih zgrada koje su uništene ili oštećene zbog klizanja tla na području RH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Državnom inspektoratu Republiku Hrvatske, da u slučajevima nekontroliranog kretanja stoke provodi inspekcijske nadzore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 i nadležnim ministarstvima,  da usvoje definiciju energetskog siromaštva, izrade međusektorsku analizu postojećih mjera te uspostave sustav njegova praćenja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izradi vodič za građane o pravima vezanima uz suzbijanje energetskog siromaštva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proširi krug korisnika na naknadu za ugroženog kupca energenata te njome obuhvati i troškove plina, toplinske energije i ogrjeva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Središnjem državnom uredu za obnovu i stambeno zbrinjavanje, da Pravilnik o darovanju građevnog materijala uskladi sa člankom 3. stavkom 1. Zakona o općem upravnom postupku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osigura dodatna sredstva i stambene jedinice za korisnike koji se zbrinjavaju kroz liste prvenstva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Prvostupanjskim tijelima, da ubrzaju dinamiku rješavanja prijava za stambeno zbrinjavanje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Središnjem državnom uredu za obnovu i stambeno zbrinjavanje, da provodi otpis potraživanja najma stambenih jedinica u vlasništvu RH, bez uvjetovanja retroaktivnog </w:t>
      </w:r>
      <w:r w:rsidRPr="001A6D9A">
        <w:rPr>
          <w:rFonts w:ascii="Calibri" w:eastAsia="Calibri" w:hAnsi="Calibri" w:cs="Times New Roman"/>
          <w:sz w:val="24"/>
        </w:rPr>
        <w:lastRenderedPageBreak/>
        <w:t>podmirenja najamnine za razdoblje od 1. listopada 2014. do sklapanja ugovora o najmu stana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Središnjem državnom uredu za obnovu i stambeno zbrinjavanje, da izmjenama i dopunama Pravilnika o darovanju građevnog materijala produlji rokove za ugradnju darovanog građevnog materijala</w:t>
      </w:r>
    </w:p>
    <w:p w:rsidR="001A6D9A" w:rsidRPr="00C105A8" w:rsidRDefault="001A6D9A" w:rsidP="001A6D9A">
      <w:pPr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Graditeljstvo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Građevinskoj inspekciji, da u rokovima i na način propisan zakonom obavještava građane o postupanju po njihovim prijavama nezakonite gradnje kojima iniciraju pokretanje postupaka po službenoj dužnosti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Građevinskoj inspekciji, da poveća broj kontrolnih nadzora nad provođenjem izrečenih mjera, osobito u zaštićenim područjima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Imovinskopravni odnosi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Ministarstvu pravosuđa i uprave, da donese Uredbu o posebnoj vrsti naknade za pokretnine sa svojstvom kulturnog dobra koje su sastavni dio muzeja, galerija i drugih ustanova</w:t>
      </w:r>
    </w:p>
    <w:p w:rsidR="001A6D9A" w:rsidRPr="003820ED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3820ED">
        <w:rPr>
          <w:rFonts w:ascii="Calibri" w:eastAsia="Calibri" w:hAnsi="Calibri" w:cs="Times New Roman"/>
          <w:sz w:val="24"/>
          <w:szCs w:val="24"/>
        </w:rPr>
        <w:t>Ministarstvu poljoprivrede, da poveća broj upravnih nadzora nad provođenjem Zakona o poljoprivrednom zemljištu i provedbenih propisa, a osobito nadzor nad postupcima dodjele i korištenja zemljišta u vlasništvu RH</w:t>
      </w:r>
    </w:p>
    <w:p w:rsidR="001A6D9A" w:rsidRPr="0089644C" w:rsidRDefault="001A6D9A" w:rsidP="001A6D9A">
      <w:pPr>
        <w:ind w:left="426"/>
        <w:jc w:val="both"/>
        <w:rPr>
          <w:rFonts w:ascii="Calibri" w:eastAsia="Calibri" w:hAnsi="Calibri" w:cs="Times New Roman"/>
          <w:sz w:val="2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Prava potrošača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gospodarstva i održivog razvoja, da različitim sredstvima komunikacije nastave informirati potrošače o njihovim pravima i načinima zaštite</w:t>
      </w:r>
    </w:p>
    <w:p w:rsidR="001A6D9A" w:rsidRPr="00C105A8" w:rsidRDefault="001A6D9A" w:rsidP="003820ED">
      <w:pPr>
        <w:ind w:left="425" w:hanging="425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Prava hrvatskih branitelja i civilnih žrtava rata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hrvatskih branitelja, da ubrza osnivanje veteranskih centara na cijelom području RH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hrvatskih branitelja, da provede javnu kampanju s ciljem informiranja civilnih stradalnika rata o mogućnostima ostvarivanja njihovih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Upravnim tijelima u županijama, da na mrežnim stranicama učine dostupnim obrasce za pokretanje postupka za priznavanje statusa civilnog invalida iz Domovinskog rata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Prava nacionalnih manjina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Uredu za ljudska prava i prava nacionalnih manjina, da redovito izrađuje i objavljuje izvješća o provođenju Operativnih programa za nacionalne manjine za razdoblje 2021. – 2024.   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mora, prometa i infrastrukture, Ministarstvu pravosuđa i uprave i Hrvatskim cestama, da donesu i provedu akcijski plan postavljanja dvojezičnih prometnih znakova s nazivima naseljenih mjesta u svim jedinicama koje su statutima predvidjele ostvarivanje ovog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 i Uredu za ljudska prava i prava nacionalnih manjina, da provedu kampanju usmjerenu prema široj javnosti o vrijednosti manjinskih jezika i pisama te njihovoj uporabi u javnoj sferi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znanosti i obrazovanja i osnivačima školskih ustanova, da osiguraju potrebne materijale i metodičko-didaktička sredstva za manjinsku nastavu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Vukovarsko-srijemskoj županiji, da sukladno Zakonu o odgoju i obrazovanju u osnovnoj i srednjoj školi prenese osnivačka prava nad osnovnim školama u Borovu, </w:t>
      </w:r>
      <w:proofErr w:type="spellStart"/>
      <w:r w:rsidRPr="001A6D9A">
        <w:rPr>
          <w:rFonts w:ascii="Calibri" w:eastAsia="Calibri" w:hAnsi="Calibri" w:cs="Times New Roman"/>
          <w:sz w:val="24"/>
        </w:rPr>
        <w:t>Negoslavcima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i </w:t>
      </w:r>
      <w:proofErr w:type="spellStart"/>
      <w:r w:rsidRPr="001A6D9A">
        <w:rPr>
          <w:rFonts w:ascii="Calibri" w:eastAsia="Calibri" w:hAnsi="Calibri" w:cs="Times New Roman"/>
          <w:sz w:val="24"/>
        </w:rPr>
        <w:t>Markušici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na istoimene općine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znanosti i obrazovanja, da prijedlogom izmjena i dopuna Zakona o odgoju i obrazovanju u osnovnoj i srednjoj školi omogući provedbu obveze imenovanja razmjernog broja pripadnika manjina u odborima škola u kojima se nastava odvija (i) na manjinskom jeziku i pismu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Hrvatskoj radioteleviziji, da održava redovne konzultativne sastanke s predstavnicima Savjeta za nacionalne manjine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se u pregovorima o sljedećem ugovoru s HRT-om zauzme za osnivanje redakcije za nacionalne manjine kao i da se precizno definiraju obveze HRT-a u proizvodnji i emitiranju emisija na manjinskim jezicima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Vladi RH, da u Nacionalni plan zaštite i promicanja ljudskih prava i suzbijanja diskriminacije uključi cilj promicanja međuetničkog dijaloga i </w:t>
      </w:r>
      <w:proofErr w:type="spellStart"/>
      <w:r w:rsidRPr="001A6D9A">
        <w:rPr>
          <w:rFonts w:ascii="Calibri" w:eastAsia="Calibri" w:hAnsi="Calibri" w:cs="Times New Roman"/>
          <w:sz w:val="24"/>
        </w:rPr>
        <w:t>uključivog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društva</w:t>
      </w:r>
    </w:p>
    <w:p w:rsidR="001A6D9A" w:rsidRPr="008B449A" w:rsidRDefault="001A6D9A" w:rsidP="001A6D9A">
      <w:pPr>
        <w:ind w:left="426"/>
        <w:jc w:val="both"/>
        <w:rPr>
          <w:rFonts w:ascii="Calibri" w:eastAsia="Calibri" w:hAnsi="Calibri" w:cs="Times New Roman"/>
          <w:sz w:val="2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Diskriminacija temeljem rasnog ili etničkog podrijetla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Tijelima državne uprave, da unutar svojih nadležnosti planiraju dodatne aktivnosti koje će doprinijeti ostvarenju ciljeva iz Nacionalnog plana za uključivanje Roma te da ih uključe u naredni akcijski plan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što skorije donese Akcijski plan za integraciju osoba kojima je odobrena međunarodna zaštita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Hrvatskom zavodu za javno zdravstvo, da provodi daljnja istraživanja o zdravlju Roma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Vladi RH, da osnuje lokalne </w:t>
      </w:r>
      <w:proofErr w:type="spellStart"/>
      <w:r w:rsidRPr="001A6D9A">
        <w:rPr>
          <w:rFonts w:ascii="Calibri" w:eastAsia="Calibri" w:hAnsi="Calibri" w:cs="Times New Roman"/>
          <w:sz w:val="24"/>
        </w:rPr>
        <w:t>multisektorske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timove koji bi izravno i koordinirano djelovali u romskim zajednicama, s ciljem suzbijanja diskriminacije i učinkovitije integracije Roma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znanosti i obrazovanja, da izradi analizu problematike segregacije romskih učenika i temeljem nje izradi Akcijski plan desegregacije romske djece u osnovnim školama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zdravstva, da kroz izravan rad u romskim zajednicama i informirajući ih o mogućnosti cijepljenja unaprijedi zdravstvenu zaštitu Roma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Uredu za ljudska prava i prava nacionalnih manjina, da u suradnji s partnerima poboljša učinkovitost i iskoristivost sredstava namijenjenih unaprjeđenju životnih uvjeta pripadnika romske nacionalne manjine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Središnjem državnom uredu za obnovu i stambeno zbrinjavanje,  da vodi zasebne podatke o terenskim provjerama korištenja stambenih jedinica bivših nositelja stanarskog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rada, mirovinskoga sustava, obitelji i socijalne politike, da u analizu učinka naknade za starije uključi i aspekt mogućeg ograničavajućeg učinka propisane duljine prebivališta na povratničku populaciju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Gradovima, da u odluke o socijalnoj skrbi i o najmu gradskih stanova kao kategoriju korisnika uključe i osobe pod međunarodnom zaštitom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znanosti i obrazovanja, da unaprijedi pravilnik o subvencioniranom smještaju studenata pod međunarodnom zaštitom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znanosti i obrazovanja, da u vezi troškova priznavanja inozemnih kvalifikacija osoba pod međunarodnom zaštitom uskladi pripadajući Pravilnik sa Zakonom o međunarodnoj i privremenoj zaštiti</w:t>
      </w:r>
    </w:p>
    <w:p w:rsidR="001A6D9A" w:rsidRPr="001A6D9A" w:rsidRDefault="001A6D9A" w:rsidP="003820ED">
      <w:pPr>
        <w:numPr>
          <w:ilvl w:val="0"/>
          <w:numId w:val="3"/>
        </w:numPr>
        <w:ind w:left="425" w:hanging="425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zdravstva, da izmijeni postojeće ili donese nove </w:t>
      </w:r>
      <w:proofErr w:type="spellStart"/>
      <w:r w:rsidRPr="001A6D9A">
        <w:rPr>
          <w:rFonts w:ascii="Calibri" w:eastAsia="Calibri" w:hAnsi="Calibri" w:cs="Times New Roman"/>
          <w:sz w:val="24"/>
        </w:rPr>
        <w:t>podzakonske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propise kako bi se osobe pod međunarodnom zaštitom upisale u Centralni zdravstveni informacijski sustav 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Pravosuđe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u suradnji sa sudovima i pravosudnim tijelima uvede komunikacijske alate kojima će se unaprijediti komunikacija sudova i državnog odvjetništva s javnošću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Pravosudnoj akademiji, da u suradnji s predstavnicima medija, osmisli i provodi edukacije urednika i novinara o praćenju i izvještavanju o radu pravosuđa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 te Ministarstvu financija, da prijedlogom izmjena i dopuna propisa u potpunosti otklone mogućnost provedbe ovrhe na primanjima i naknadama u dijelu u kojem su zakonom izuzeti od ovrhe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razmotri način izuzimanja od ovrhe potpora iz fondova solidarnosti namijenjene zdravstvenim potrebama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izradi sveobuhvatnu analizu ovršnog sustava i na temelju nje započne postupak izrade prijedloga novog Ovršnog zakona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o žalbama na rješenja o besplatnoj pravnoj pomoći odlučuje u propisanom roku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pravosuđa i uprave, da putem medija i raznih promotivnih materijala te na druge prikladne načine informira građane o mogućnostima ostvarivanja besplatne pravne pomoći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osigura dodatna sredstva za pružatelje besplatne pravne pomoći na potresom pogođenim područjima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Hrvatskoj odvjetničkoj komori, da ažurira liste odvjetnika za pružanje sekundarne besplatne pravne pomoći na otocima i ostalim izoliranim područjima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imenuje članove Povjerenstva za besplatnu pravnu pomoć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Pravosudnoj akademiji, da u okviru cjeloživotnog stručnog usavršavanja provodi edukacije pravosudnih dužnosnika o nacionalnom i europskom </w:t>
      </w:r>
      <w:proofErr w:type="spellStart"/>
      <w:r w:rsidRPr="001A6D9A">
        <w:rPr>
          <w:rFonts w:ascii="Calibri" w:eastAsia="Calibri" w:hAnsi="Calibri" w:cs="Times New Roman"/>
          <w:sz w:val="24"/>
        </w:rPr>
        <w:t>antidiskriminacijskom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pravu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 xml:space="preserve">Hrvatskoj odvjetničkoj komori, da provodi edukacije svojih članova o nacionalnom i europskom </w:t>
      </w:r>
      <w:proofErr w:type="spellStart"/>
      <w:r w:rsidRPr="001A6D9A">
        <w:rPr>
          <w:rFonts w:ascii="Calibri" w:eastAsia="Calibri" w:hAnsi="Calibri" w:cs="Times New Roman"/>
          <w:sz w:val="24"/>
        </w:rPr>
        <w:t>antidiskriminacijskom</w:t>
      </w:r>
      <w:proofErr w:type="spellEnd"/>
      <w:r w:rsidRPr="001A6D9A">
        <w:rPr>
          <w:rFonts w:ascii="Calibri" w:eastAsia="Calibri" w:hAnsi="Calibri" w:cs="Times New Roman"/>
          <w:sz w:val="24"/>
        </w:rPr>
        <w:t xml:space="preserve"> pravu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prikuplja statističke podatke o upravnim sporovima vezanim uz diskriminaciju, diskriminacijskim osnovama, načinu okončanja sporova te njihovom trajanju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provodi edukacije o prepoznavanju zločina iz mržnje za policijske službenike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na sudovima gdje se poslovi podrške žrtvama i svjedocima obavljaju u okviru zajedničkih službi za potrebe više pravosudnih tijela, odobri zapošljavanje dodatnih službenika, a tamo gdje ih nema da proširi sustav podrške žrtvama i svjedocima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Pravosudnoj akademiji, da u redovni program obrazovanja za pravosudne dužnosnike uvrsti održavanje radionica posvećenih individualnoj procjeni žrtava</w:t>
      </w:r>
    </w:p>
    <w:p w:rsidR="001A6D9A" w:rsidRPr="00C105A8" w:rsidRDefault="001A6D9A" w:rsidP="001A6D9A">
      <w:pPr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Sloboda izražavanja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Državnom odvjetništvu Republike Hrvatske, Ministarstvu unutarnjih poslova i Ravnateljstvu policije, da ujednačeno postupaju u vezi javne upotrebe pozdrava „Za dom spremni“</w:t>
      </w:r>
    </w:p>
    <w:p w:rsidR="001A6D9A" w:rsidRPr="000229AB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kulture i medija, da osmisli i provede sveobuhvatnu medijsku kampanju o </w:t>
      </w:r>
      <w:r w:rsidRPr="000229AB">
        <w:rPr>
          <w:rFonts w:ascii="Calibri" w:eastAsia="Calibri" w:hAnsi="Calibri" w:cs="Times New Roman"/>
        </w:rPr>
        <w:t>odgovornosti građana za objavljeni sadržaj na društvenim mrežama i elektroničkim portalima</w:t>
      </w:r>
    </w:p>
    <w:p w:rsidR="001A6D9A" w:rsidRPr="00C105A8" w:rsidRDefault="001A6D9A" w:rsidP="001A6D9A">
      <w:pPr>
        <w:ind w:left="426" w:hanging="502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Branitelji ljudskih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Nacionalni plan zaštite i promicanja ljudskih prava i suzbijanja diskriminacije sadrži cilj važnost izgradnje poticajnog okruženja za rad OCD-a koji se bave zaštitom i promicanjem ljudskih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 xml:space="preserve">Vladi RH, da žurno donese Nacionalni plan stvaranja poticajnog okruženja za razvoj civilnog društva 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osigura dugoročno institucionalno i programsko financiranje OCD-a za zaštitu i promicanje ljudskih prava i suzbijanje diskriminacije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dosljedno implementira standarde za rad neovisnih institucija za ljudska prava i suzbijanje diskriminacije, sukladno relevantnim međunarodnim instrumentima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Pravo na zdrav život i zdrav okoliš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kroz zakone i druge propise dodatno razradi ustavno pravo na zdrav život i zdrav okoliš, uzimajući u obzir međunarodno prepoznavanje prava na čist, zdrav i održiv okoliš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gospodarstva i održivog razvoja, da donese Pravilnik o mjerenju i načinu praćenja rasvijetljenosti okoliša iz Zakona o zaštiti od svjetlosnog onečišćenja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gospodarstva i održivog razvoja, da unaprijedi sustavni nadzor i osigura stručne kapacitete javnih ustanova za učinkoviti nadzor nad speleološkim objektima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Pravosudnoj akademiji, da provodi edukacije sudaca iz okolišnog prava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Zaštita prijavitelja nepravilnosti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Pravosudnoj akademiji, da provodi edukacije sudaca o primjeni novog Zakona o zaštiti prijavitelja nepravilnosti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Hrvatskoj odvjetničkoj komori, da provodi edukacije odvjetnika o primjeni novog Zakona o zaštiti prijavitelja nepravilnosti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provodi edukacije povjerljivih osoba i njihovih zamjenika o primjeni novog Zakona o zaštiti prijavitelja nepravilnosti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provede kampanju usmjerenu prema široj javnosti o važnosti prijavljivanja nepravilnosti i modalitetima zaštite prijavitelja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  <w:szCs w:val="28"/>
        </w:rPr>
        <w:t>Policijski sustav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 i Ravnateljstvu policije, da se kod uhićenja zbog sumnje u počinjenje kaznenog djela strogo poštuje obveza obavještavanja državnog odvjetnika bez odgode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 i Ravnateljstvu policije, da se, u skladu sa Zakonom o policijskim poslovima i ovlastima, prema ranjivim skupinama postupa s posebnim obzirom te da se primjenjuju policijske ovlasti kojima se u najmanjoj mogućoj mjeri zadire u ljudska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unutarnjih poslova i Ravnateljstvu policije, da se policijske ovlasti primjenjuju na način da se u najmanjoj mjeri zadire u slobode i prava čovjeka, a postiže svrha obavljanja policijskog posla, osobito kada dolazi do lišenja slobode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u postupcima reguliranja statusa osobama koje su rođene ili žive u RH desetljećima ili imaju s njom drugu čvrstu vezu, a nemaju državljanstvo niti jedne države, postupa uvažavajući odluke Ustavnog suda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prijedlogom izmjena i dopuna Zakona o strancima jasno propiše status osoba bez državljanstva, da ih se uključi u kategoriju stranaca koji imaju pravo na besplatnu pravnu pomoć te da status mogu regulirati na olakšani način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prijedlogom izmjena i dopuna Zakona o besplatnoj pravnoj pomoći omogući korištenje besplatne pravne pomoći osobama bez državljanstva bez izuzetka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izradi prijedlog izmjena Zakona o hrvatskom državljanstvu kojim bi se omogućilo stjecanje hrvatskog državljanstva podrijetlom pod uvjetima iz čl. 5. st. 2. Zakona osobama rođenima u inozemstvu prije 8. listopada 1991. čiji je jedan roditelj u trenutku njihova rođenja bio hrvatski državljanin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izradi prijedlog izmjena Zakona o hrvatskom državljanstvu kojim bi se olakšao primitak u hrvatsko državljanstvo osoba kojima je jedan roditelj pripadnik hrvatskog naroda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izradi prijedlog izmjena Zakona o strancima kojim bi se omogućilo zadržavanje odobrenog privremenog i stjecanje stalnog boravka, posljedično i državljanstva, strancima koji su supruzi i/ili roditelji hrvatskih državljana i žive u RH, a koji zbog opravdanih obveza ne potpadaju pod vremenske iznimke izbivanja iz RH propisane Zakonom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 i Ravnateljstvu policije, da osiguraju uvjete za smještaj osoba lišenih slobode, sukladno međunarodnim i domaćim standardima, u upravama i postajama u kojima to još nije osigurano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 i Ravnateljstvu policije, da opreme vozila koja se koriste za prijevoz osoba lišenih slobode odgovarajućom sigurnosnom opremom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 i Ravnateljstvu policije, da uspostave video nadzor u svim prostorijama u kojima se nalaze i kreću OLS te sustav dojave (zvono za poziv), koji treba biti dostupan pritvorskim nadzornicima u operativno-komunikacijskim centrima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Tražitelji međunarodne zaštite i iregularni migranti</w:t>
      </w:r>
    </w:p>
    <w:p w:rsidR="001A6D9A" w:rsidRPr="001A6D9A" w:rsidRDefault="001A6D9A" w:rsidP="003820ED">
      <w:pPr>
        <w:numPr>
          <w:ilvl w:val="0"/>
          <w:numId w:val="3"/>
        </w:numPr>
        <w:ind w:left="431" w:hanging="573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prevede pojam '</w:t>
      </w:r>
      <w:proofErr w:type="spellStart"/>
      <w:r w:rsidRPr="001A6D9A">
        <w:rPr>
          <w:rFonts w:ascii="Calibri" w:eastAsia="Calibri" w:hAnsi="Calibri" w:cs="Times New Roman"/>
          <w:sz w:val="24"/>
        </w:rPr>
        <w:t>push-back</w:t>
      </w:r>
      <w:proofErr w:type="spellEnd"/>
      <w:r w:rsidRPr="001A6D9A">
        <w:rPr>
          <w:rFonts w:ascii="Calibri" w:eastAsia="Calibri" w:hAnsi="Calibri" w:cs="Times New Roman"/>
          <w:sz w:val="24"/>
        </w:rPr>
        <w:t>' odnosno osmisliti njegovu adekvatnu hrvatsku inačicu</w:t>
      </w:r>
    </w:p>
    <w:p w:rsidR="001A6D9A" w:rsidRPr="001A6D9A" w:rsidRDefault="001A6D9A" w:rsidP="003820ED">
      <w:pPr>
        <w:numPr>
          <w:ilvl w:val="0"/>
          <w:numId w:val="3"/>
        </w:numPr>
        <w:ind w:left="431" w:hanging="573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unutarnjih poslova, da prema iregularnim migrantima zatečenim na području RH provede postupke predviđene pravom EU i međunarodnim pravom</w:t>
      </w:r>
    </w:p>
    <w:p w:rsidR="001A6D9A" w:rsidRPr="001A6D9A" w:rsidRDefault="001A6D9A" w:rsidP="003820ED">
      <w:pPr>
        <w:numPr>
          <w:ilvl w:val="0"/>
          <w:numId w:val="3"/>
        </w:numPr>
        <w:ind w:left="431" w:hanging="573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Ministarstvu unutarnjih poslova, da predstavnicima NPM-a omogući pristup svim podatcima o postupanjima prema iregularnim migrantima, uključujući podatke koji se nalaze u informacijskom sustavu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3820ED" w:rsidRDefault="003820ED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</w:p>
    <w:p w:rsidR="003820ED" w:rsidRDefault="003820ED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Zatvorski sustav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 i Ministarstvu pravosuđa i uprave, da u suradnji s HZZO-om prilagode proceduru propisivanja i izdavanja lijekova na recept osobama lišenima slobode u zatvorskom sustavu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 i Ministarstvu pravosuđa i uprave, da osiguraju preduvjete za djelovanje Zatvorske bolnice u Zagrebu kao zdravstvene ustanove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žurno usklade cijene telefoniranja osoba lišenih slobode u kaznenim tijelima s onima na tržištu telefonije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povećaju kapacitete za ostvarivanje kontakta video pozivom osoba lišenih slobode u kaznenim tijelima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uvjete smještaja u kaznenim tijelima prilagodi zakonskim i međunarodnim standardima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pravosuđa i uprave, da izradi uputu o uvjetima i načinima primjene posebnih mjera održavanja reda i sigurnosti u odgojnim zavodima</w:t>
      </w:r>
    </w:p>
    <w:p w:rsidR="001A6D9A" w:rsidRPr="00C105A8" w:rsidRDefault="001A6D9A" w:rsidP="001A6D9A">
      <w:pPr>
        <w:ind w:left="426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Osobe s duševnim smetnjama kojima je ograničena sloboda kretanja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uvjete smještaja u psihijatrijskim ustanovama uskladi s međunarodnim i zakonskim standardima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sustavno provodi edukacije zdravstvenih radnika o pravima osoba s duševnim smetnjama i primjeni mjera prisile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Ministarstvu zdravstva, da osiguraju da se na svim psihijatrijskim odjelima vode odgovarajuće evidencije o primjeni sredstava prisile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1A6D9A">
        <w:rPr>
          <w:rFonts w:ascii="Calibri" w:eastAsia="Calibri" w:hAnsi="Calibri" w:cs="Times New Roman"/>
          <w:sz w:val="24"/>
        </w:rPr>
        <w:t xml:space="preserve">Ministarstvu </w:t>
      </w:r>
      <w:r w:rsidRPr="001A6D9A">
        <w:rPr>
          <w:rFonts w:ascii="Calibri" w:eastAsia="Calibri" w:hAnsi="Calibri" w:cs="Times New Roman"/>
          <w:sz w:val="24"/>
          <w:szCs w:val="24"/>
        </w:rPr>
        <w:t>zdravstva, da sustavno riješi prisilni smještaj maloljetnih neubrojivih osoba u skladu s njihovim potrebama i sigurnosnim zahtjevima</w:t>
      </w:r>
    </w:p>
    <w:p w:rsidR="003820ED" w:rsidRPr="003820ED" w:rsidRDefault="003820ED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4"/>
          <w:szCs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Statistički podatci o postupanju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Uredu za ljudska prava i prava nacionalnih manjina, da kontinuirano informira građane o zabrani diskriminacije i mehanizmima zaštite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lastRenderedPageBreak/>
        <w:t>Uredu za ljudska prava i prava nacionalnih manjina, da nastavi s edukacijama stručne javnosti o pojavama diskriminacije u skladu sa specifičnim interesima i potrebama pojedinih ciljanih grupa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Uredu za ljudska prava i prava nacionalnih manjina, da osigura sredstva za organizacije civilnog društva za provedbu promotivnih aktivnosti podizanja svijesti o suzbijanju diskriminacije te edukacijskih aktivnosti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usvoji Nacionalni plan zaštite i promicanja ljudskih prava i suzbijanja diskriminacije od 2021. do 2027. te prateće akcijske planove</w:t>
      </w:r>
    </w:p>
    <w:p w:rsidR="001A6D9A" w:rsidRPr="00C105A8" w:rsidRDefault="001A6D9A" w:rsidP="003820ED">
      <w:pPr>
        <w:ind w:left="425" w:hanging="567"/>
        <w:jc w:val="both"/>
        <w:rPr>
          <w:rFonts w:ascii="Calibri" w:eastAsia="Calibri" w:hAnsi="Calibri" w:cs="Times New Roman"/>
          <w:sz w:val="4"/>
        </w:rPr>
      </w:pPr>
    </w:p>
    <w:p w:rsidR="001A6D9A" w:rsidRPr="000229AB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0229AB">
        <w:rPr>
          <w:rFonts w:ascii="Bahnschrift Light SemiCondensed" w:eastAsia="Calibri" w:hAnsi="Bahnschrift Light SemiCondensed" w:cs="Times New Roman"/>
          <w:color w:val="0070C0"/>
          <w:sz w:val="28"/>
        </w:rPr>
        <w:t>Međunarodna suradnja i međunarodni mehanizmi zaštite ljudskih prava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ratificira Fakultativni protokol uz Međunarodni pakt o gospodarskim, socijalnim i kulturnim pravima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RH, da ratificira Europsku socijalnu povelju (Revidiranu)</w:t>
      </w:r>
    </w:p>
    <w:p w:rsidR="001A6D9A" w:rsidRPr="007C78F3" w:rsidRDefault="001A6D9A" w:rsidP="001A6D9A">
      <w:pPr>
        <w:ind w:left="426"/>
        <w:jc w:val="both"/>
        <w:rPr>
          <w:rFonts w:ascii="Calibri" w:eastAsia="Calibri" w:hAnsi="Calibri" w:cs="Times New Roman"/>
          <w:sz w:val="12"/>
        </w:rPr>
      </w:pPr>
    </w:p>
    <w:p w:rsidR="001A6D9A" w:rsidRPr="00324839" w:rsidRDefault="001A6D9A" w:rsidP="001A6D9A">
      <w:pPr>
        <w:ind w:left="426"/>
        <w:jc w:val="both"/>
        <w:rPr>
          <w:rFonts w:ascii="Bahnschrift Light SemiCondensed" w:eastAsia="Calibri" w:hAnsi="Bahnschrift Light SemiCondensed" w:cs="Times New Roman"/>
          <w:color w:val="0070C0"/>
          <w:sz w:val="28"/>
        </w:rPr>
      </w:pPr>
      <w:r w:rsidRPr="00324839">
        <w:rPr>
          <w:rFonts w:ascii="Bahnschrift Light SemiCondensed" w:eastAsia="Calibri" w:hAnsi="Bahnschrift Light SemiCondensed" w:cs="Times New Roman"/>
          <w:color w:val="0070C0"/>
          <w:sz w:val="28"/>
        </w:rPr>
        <w:t>Ljudski potencijali, uvjeti za rad i proračun ureda</w:t>
      </w:r>
    </w:p>
    <w:p w:rsidR="001A6D9A" w:rsidRPr="001A6D9A" w:rsidRDefault="001A6D9A" w:rsidP="003820ED">
      <w:pPr>
        <w:numPr>
          <w:ilvl w:val="0"/>
          <w:numId w:val="3"/>
        </w:numPr>
        <w:ind w:left="425" w:hanging="567"/>
        <w:jc w:val="both"/>
        <w:rPr>
          <w:rFonts w:ascii="Calibri" w:eastAsia="Calibri" w:hAnsi="Calibri" w:cs="Times New Roman"/>
          <w:sz w:val="24"/>
        </w:rPr>
      </w:pPr>
      <w:r w:rsidRPr="001A6D9A">
        <w:rPr>
          <w:rFonts w:ascii="Calibri" w:eastAsia="Calibri" w:hAnsi="Calibri" w:cs="Times New Roman"/>
          <w:sz w:val="24"/>
        </w:rPr>
        <w:t>Vladi RH i Ministarstvu prostornog uređenja, graditeljstva i državne imovine, da hitno, do završetka obnove i povratka u zgradu na Trgu hrvatskih velikana, instituciji pučke pravobraniteljice osiguraju adekvatni zamjenski prostor za rad u punom kapacitetu, vodeći računa o broju zaposlenih te drugim potrebama koje proizlaze iz zakonom propisanog djelokruga</w:t>
      </w:r>
    </w:p>
    <w:p w:rsidR="001A6D9A" w:rsidRPr="000229AB" w:rsidRDefault="001A6D9A" w:rsidP="001A6D9A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64D25" w:rsidRDefault="00764D25"/>
    <w:sectPr w:rsidR="00764D25" w:rsidSect="00B10A7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EF" w:rsidRDefault="00B41DEF" w:rsidP="00826C89">
      <w:pPr>
        <w:spacing w:after="0" w:line="240" w:lineRule="auto"/>
      </w:pPr>
      <w:r>
        <w:separator/>
      </w:r>
    </w:p>
  </w:endnote>
  <w:endnote w:type="continuationSeparator" w:id="0">
    <w:p w:rsidR="00B41DEF" w:rsidRDefault="00B41DEF" w:rsidP="0082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983447"/>
      <w:docPartObj>
        <w:docPartGallery w:val="Page Numbers (Bottom of Page)"/>
        <w:docPartUnique/>
      </w:docPartObj>
    </w:sdtPr>
    <w:sdtContent>
      <w:p w:rsidR="00B10A74" w:rsidRDefault="00B10A74">
        <w:pPr>
          <w:pStyle w:val="Footer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297E67D" wp14:editId="0872161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76885" cy="716915"/>
                  <wp:effectExtent l="0" t="0" r="18415" b="26035"/>
                  <wp:wrapNone/>
                  <wp:docPr id="395" name="Group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6885" cy="716915"/>
                            <a:chOff x="1743" y="14699"/>
                            <a:chExt cx="751" cy="1129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9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39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751" cy="751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0A74" w:rsidRPr="00F41DDA" w:rsidRDefault="00B10A74">
                                <w:pPr>
                                  <w:pStyle w:val="Footer"/>
                                  <w:jc w:val="center"/>
                                  <w:rPr>
                                    <w:rFonts w:ascii="Bahnschrift Light SemiCondensed" w:hAnsi="Bahnschrift Light Semi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F41DDA">
                                  <w:rPr>
                                    <w:rFonts w:ascii="Bahnschrift Light SemiCondensed" w:hAnsi="Bahnschrift Light Semi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F41DDA">
                                  <w:rPr>
                                    <w:rFonts w:ascii="Bahnschrift Light SemiCondensed" w:hAnsi="Bahnschrift Light Semi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F41DDA">
                                  <w:rPr>
                                    <w:rFonts w:ascii="Bahnschrift Light SemiCondensed" w:hAnsi="Bahnschrift Light SemiCondensed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Bahnschrift Light SemiCondensed" w:hAnsi="Bahnschrift Light SemiCondensed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Pr="00F41DDA">
                                  <w:rPr>
                                    <w:rFonts w:ascii="Bahnschrift Light SemiCondensed" w:hAnsi="Bahnschrift Light SemiCondensed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97E67D" id="Group 395" o:spid="_x0000_s1026" style="position:absolute;margin-left:-13.65pt;margin-top:0;width:37.55pt;height:56.45pt;z-index:251660288;mso-position-horizontal:right;mso-position-horizontal-relative:margin;mso-position-vertical:bottom;mso-position-vertical-relative:page" coordorigin="1743,14699" coordsize="751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" strokecolor="white [3212]"/>
                  <v:rect id="Rectangle 78" o:spid="_x0000_s1028" style="position:absolute;left:1743;top:14699;width:751;height: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" filled="f" strokecolor="white [3212]">
                    <v:textbox>
                      <w:txbxContent>
                        <w:p w:rsidR="00B10A74" w:rsidRPr="00F41DDA" w:rsidRDefault="00B10A74">
                          <w:pPr>
                            <w:pStyle w:val="Footer"/>
                            <w:jc w:val="center"/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41DDA"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41DDA"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41DDA">
                            <w:rPr>
                              <w:rFonts w:ascii="Bahnschrift Light SemiCondensed" w:hAnsi="Bahnschrift Light SemiCondensed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ahnschrift Light SemiCondensed" w:hAnsi="Bahnschrift Light SemiCondensed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18</w:t>
                          </w:r>
                          <w:r w:rsidRPr="00F41DDA">
                            <w:rPr>
                              <w:rFonts w:ascii="Bahnschrift Light SemiCondensed" w:hAnsi="Bahnschrift Light SemiCondensed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1BC536B0" wp14:editId="77CFAD5D">
              <wp:simplePos x="0" y="0"/>
              <wp:positionH relativeFrom="column">
                <wp:posOffset>2279881</wp:posOffset>
              </wp:positionH>
              <wp:positionV relativeFrom="paragraph">
                <wp:posOffset>-75400</wp:posOffset>
              </wp:positionV>
              <wp:extent cx="1590675" cy="379095"/>
              <wp:effectExtent l="0" t="0" r="9525" b="1905"/>
              <wp:wrapTight wrapText="bothSides">
                <wp:wrapPolygon edited="0">
                  <wp:start x="0" y="0"/>
                  <wp:lineTo x="0" y="20623"/>
                  <wp:lineTo x="21471" y="20623"/>
                  <wp:lineTo x="21471" y="0"/>
                  <wp:lineTo x="0" y="0"/>
                </wp:wrapPolygon>
              </wp:wrapTight>
              <wp:docPr id="398" name="Slika 23" descr="Pučka pravobranitelj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učka pravobraniteljic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067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74" w:rsidRDefault="00B10A74" w:rsidP="00B10A74">
    <w:pPr>
      <w:pStyle w:val="Footer"/>
      <w:tabs>
        <w:tab w:val="clear" w:pos="4536"/>
        <w:tab w:val="clear" w:pos="9072"/>
        <w:tab w:val="left" w:pos="1978"/>
        <w:tab w:val="left" w:pos="2475"/>
      </w:tabs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3AC829" wp14:editId="6B1DC50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469265" cy="716915"/>
              <wp:effectExtent l="0" t="0" r="26035" b="26035"/>
              <wp:wrapNone/>
              <wp:docPr id="392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265" cy="716915"/>
                        <a:chOff x="1743" y="14699"/>
                        <a:chExt cx="739" cy="1129"/>
                      </a:xfrm>
                      <a:solidFill>
                        <a:srgbClr val="FFC000"/>
                      </a:solidFill>
                    </wpg:grpSpPr>
                    <wps:wsp>
                      <wps:cNvPr id="393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394" name="Rectangle 78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739" cy="72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10A74" w:rsidRPr="002B57E8" w:rsidRDefault="00B10A74">
                            <w:pPr>
                              <w:pStyle w:val="Footer"/>
                              <w:jc w:val="center"/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7E8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2B57E8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2B57E8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4327B">
                              <w:rPr>
                                <w:rFonts w:ascii="Bahnschrift Light SemiCondensed" w:hAnsi="Bahnschrift Light SemiCondensed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2B57E8">
                              <w:rPr>
                                <w:rFonts w:ascii="Bahnschrift Light SemiCondensed" w:hAnsi="Bahnschrift Light SemiCondensed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3AC829" id="Grupa 9" o:spid="_x0000_s1029" style="position:absolute;margin-left:0;margin-top:0;width:36.95pt;height:56.45pt;z-index:251659264;mso-position-horizontal:left;mso-position-horizontal-relative:margin;mso-position-vertical:bottom;mso-position-vertical-relative:page" coordorigin="1743,14699" coordsize="739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" strokecolor="white [3212]"/>
              <v:rect id="Rectangle 78" o:spid="_x0000_s1031" style="position:absolute;left:1743;top:14699;width:739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" fillcolor="#0070c0" strokecolor="white [3212]">
                <v:textbox>
                  <w:txbxContent>
                    <w:p w:rsidR="00B10A74" w:rsidRPr="002B57E8" w:rsidRDefault="00B10A74">
                      <w:pPr>
                        <w:pStyle w:val="Footer"/>
                        <w:jc w:val="center"/>
                        <w:rPr>
                          <w:rFonts w:ascii="Bahnschrift Light SemiCondensed" w:hAnsi="Bahnschrift Light SemiCondense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7E8">
                        <w:rPr>
                          <w:rFonts w:ascii="Bahnschrift Light SemiCondensed" w:hAnsi="Bahnschrift Light SemiCondensed"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2B57E8">
                        <w:rPr>
                          <w:rFonts w:ascii="Bahnschrift Light SemiCondensed" w:hAnsi="Bahnschrift Light SemiCondensed"/>
                          <w:color w:val="FFFFFF" w:themeColor="background1"/>
                          <w:sz w:val="28"/>
                          <w:szCs w:val="28"/>
                        </w:rPr>
                        <w:instrText>PAGE    \* MERGEFORMAT</w:instrText>
                      </w:r>
                      <w:r w:rsidRPr="002B57E8">
                        <w:rPr>
                          <w:rFonts w:ascii="Bahnschrift Light SemiCondensed" w:hAnsi="Bahnschrift Light SemiCondensed"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44327B">
                        <w:rPr>
                          <w:rFonts w:ascii="Bahnschrift Light SemiCondensed" w:hAnsi="Bahnschrift Light SemiCondensed"/>
                          <w:noProof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2B57E8">
                        <w:rPr>
                          <w:rFonts w:ascii="Bahnschrift Light SemiCondensed" w:hAnsi="Bahnschrift Light SemiCondensed"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EF" w:rsidRDefault="00B41DEF" w:rsidP="00826C89">
      <w:pPr>
        <w:spacing w:after="0" w:line="240" w:lineRule="auto"/>
      </w:pPr>
      <w:r>
        <w:separator/>
      </w:r>
    </w:p>
  </w:footnote>
  <w:footnote w:type="continuationSeparator" w:id="0">
    <w:p w:rsidR="00B41DEF" w:rsidRDefault="00B41DEF" w:rsidP="0082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4EFC"/>
    <w:multiLevelType w:val="hybridMultilevel"/>
    <w:tmpl w:val="ACB2B02E"/>
    <w:lvl w:ilvl="0" w:tplc="66F073F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A11"/>
    <w:multiLevelType w:val="hybridMultilevel"/>
    <w:tmpl w:val="2F7E853E"/>
    <w:lvl w:ilvl="0" w:tplc="22D481E8">
      <w:start w:val="4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EB2E40"/>
    <w:multiLevelType w:val="multilevel"/>
    <w:tmpl w:val="7BC6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Bahnschrift Light SemiCondensed" w:hAnsi="Bahnschrift Light SemiCondensed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Bahnschrift Light SemiCondensed" w:hAnsi="Bahnschrift Light SemiCondensed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4A4D55"/>
    <w:multiLevelType w:val="hybridMultilevel"/>
    <w:tmpl w:val="C7DA86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A"/>
    <w:rsid w:val="001A6D9A"/>
    <w:rsid w:val="003820ED"/>
    <w:rsid w:val="0044327B"/>
    <w:rsid w:val="00764D25"/>
    <w:rsid w:val="00826C89"/>
    <w:rsid w:val="00B10A74"/>
    <w:rsid w:val="00B41DEF"/>
    <w:rsid w:val="00B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EA7D"/>
  <w15:chartTrackingRefBased/>
  <w15:docId w15:val="{149D5F9E-4376-47ED-B702-03E1D43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9A"/>
  </w:style>
  <w:style w:type="paragraph" w:styleId="Heading1">
    <w:name w:val="heading 1"/>
    <w:basedOn w:val="Normal"/>
    <w:next w:val="Normal"/>
    <w:link w:val="Heading1Char"/>
    <w:uiPriority w:val="9"/>
    <w:qFormat/>
    <w:rsid w:val="001A6D9A"/>
    <w:pPr>
      <w:keepNext/>
      <w:keepLines/>
      <w:numPr>
        <w:numId w:val="1"/>
      </w:numPr>
      <w:spacing w:before="240" w:after="0"/>
      <w:ind w:left="357" w:hanging="357"/>
      <w:outlineLvl w:val="0"/>
    </w:pPr>
    <w:rPr>
      <w:rFonts w:ascii="Bahnschrift Light SemiCondensed" w:eastAsiaTheme="majorEastAsia" w:hAnsi="Bahnschrift Light SemiCondensed" w:cstheme="majorBidi"/>
      <w:color w:val="0070C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D9A"/>
    <w:rPr>
      <w:rFonts w:ascii="Bahnschrift Light SemiCondensed" w:eastAsiaTheme="majorEastAsia" w:hAnsi="Bahnschrift Light SemiCondensed" w:cstheme="majorBidi"/>
      <w:color w:val="0070C0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1A6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9A"/>
  </w:style>
  <w:style w:type="paragraph" w:styleId="Header">
    <w:name w:val="header"/>
    <w:basedOn w:val="Normal"/>
    <w:link w:val="HeaderChar"/>
    <w:uiPriority w:val="99"/>
    <w:unhideWhenUsed/>
    <w:rsid w:val="0082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mbudsman.hr/hr/download/izvjesce-pucke-pravobraniteljice-za-2021-godinu/?wpdmdl=13454&amp;refresh=626fde2dab8d716514985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mbudsman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Ana Tretinjak</cp:lastModifiedBy>
  <cp:revision>2</cp:revision>
  <dcterms:created xsi:type="dcterms:W3CDTF">2022-05-02T13:13:00Z</dcterms:created>
  <dcterms:modified xsi:type="dcterms:W3CDTF">2022-05-02T14:04:00Z</dcterms:modified>
</cp:coreProperties>
</file>